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00" w:afterAutospacing="1"/>
        <w:jc w:val="left"/>
        <w:rPr>
          <w:rFonts w:ascii="宋体" w:hAnsi="宋体"/>
          <w:sz w:val="28"/>
          <w:szCs w:val="28"/>
        </w:rPr>
      </w:pPr>
      <w:r>
        <w:rPr>
          <w:rFonts w:hint="eastAsia" w:ascii="宋体" w:hAnsi="宋体"/>
          <w:sz w:val="28"/>
          <w:szCs w:val="28"/>
        </w:rPr>
        <w:t>附件1</w:t>
      </w:r>
    </w:p>
    <w:p>
      <w:pPr>
        <w:adjustRightInd w:val="0"/>
        <w:snapToGrid w:val="0"/>
        <w:spacing w:after="100" w:afterAutospacing="1"/>
        <w:jc w:val="center"/>
        <w:rPr>
          <w:rFonts w:ascii="宋体" w:hAnsi="宋体"/>
          <w:b/>
          <w:sz w:val="36"/>
          <w:szCs w:val="32"/>
        </w:rPr>
      </w:pPr>
      <w:bookmarkStart w:id="0" w:name="_GoBack"/>
      <w:r>
        <w:rPr>
          <w:rFonts w:hint="eastAsia" w:ascii="宋体" w:hAnsi="宋体"/>
          <w:b/>
          <w:sz w:val="36"/>
          <w:szCs w:val="32"/>
        </w:rPr>
        <w:t>常州大学2024年度预算编制实施细则</w:t>
      </w:r>
    </w:p>
    <w:bookmarkEnd w:id="0"/>
    <w:p>
      <w:pPr>
        <w:widowControl/>
        <w:spacing w:line="360" w:lineRule="auto"/>
        <w:ind w:firstLine="560" w:firstLineChars="200"/>
        <w:jc w:val="left"/>
        <w:rPr>
          <w:rFonts w:ascii="宋体" w:hAnsi="宋体"/>
          <w:sz w:val="28"/>
          <w:szCs w:val="28"/>
        </w:rPr>
      </w:pPr>
      <w:r>
        <w:rPr>
          <w:rFonts w:hint="eastAsia" w:ascii="宋体" w:hAnsi="宋体"/>
          <w:sz w:val="28"/>
          <w:szCs w:val="28"/>
        </w:rPr>
        <w:t>根据《常州大学预算管理办法》（常大〔2012〕206号）《常州大学校院财务两级管理实施办法》（常大〔2016〕93号）《常州大学专项资金绩效评价管理办法》（常大〔2019〕267号）的文件精神，为进一步深化校院两级管理体制改革，推进预算绩效管理，做好年度预算编制工作，制定预算编制实施细则如下。</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一、预算编制原则</w:t>
      </w:r>
    </w:p>
    <w:p>
      <w:pPr>
        <w:widowControl/>
        <w:spacing w:line="360" w:lineRule="auto"/>
        <w:ind w:firstLine="560" w:firstLineChars="200"/>
        <w:jc w:val="left"/>
        <w:rPr>
          <w:rFonts w:ascii="宋体" w:hAnsi="宋体"/>
          <w:sz w:val="28"/>
          <w:szCs w:val="28"/>
        </w:rPr>
      </w:pPr>
      <w:r>
        <w:rPr>
          <w:rFonts w:hint="eastAsia" w:ascii="宋体" w:hAnsi="宋体"/>
          <w:bCs/>
          <w:sz w:val="28"/>
          <w:szCs w:val="28"/>
        </w:rPr>
        <w:t>1.</w:t>
      </w:r>
      <w:r>
        <w:rPr>
          <w:rFonts w:hint="eastAsia" w:ascii="宋体" w:hAnsi="宋体"/>
          <w:sz w:val="28"/>
          <w:szCs w:val="28"/>
        </w:rPr>
        <w:t>坚持“保障重点、统筹兼顾、勤俭节约、量入为出、绩效管理、收支平衡”的原则，切实提高预算编制的科学性、精准性。</w:t>
      </w:r>
    </w:p>
    <w:p>
      <w:pPr>
        <w:widowControl/>
        <w:spacing w:line="360" w:lineRule="auto"/>
        <w:ind w:firstLine="560" w:firstLineChars="200"/>
        <w:jc w:val="left"/>
        <w:rPr>
          <w:rFonts w:ascii="宋体" w:hAnsi="宋体"/>
          <w:sz w:val="28"/>
          <w:szCs w:val="28"/>
        </w:rPr>
      </w:pPr>
      <w:r>
        <w:rPr>
          <w:rFonts w:hint="eastAsia" w:ascii="宋体" w:hAnsi="宋体"/>
          <w:bCs/>
          <w:sz w:val="28"/>
          <w:szCs w:val="28"/>
        </w:rPr>
        <w:t>2.</w:t>
      </w:r>
      <w:r>
        <w:rPr>
          <w:rFonts w:hint="eastAsia" w:ascii="宋体" w:hAnsi="宋体"/>
          <w:sz w:val="28"/>
          <w:szCs w:val="28"/>
        </w:rPr>
        <w:t>优化支出结构。以学校发展目标为指引，紧密围绕学校战略部署，结合学校“十四五”发展规划，在优先保证人员经费和基本运行经费支出的前提下，加大学校内涵建设投入，严控一般性支出，统筹安排学校各项事业发展经费。</w:t>
      </w:r>
    </w:p>
    <w:p>
      <w:pPr>
        <w:widowControl/>
        <w:spacing w:line="360" w:lineRule="auto"/>
        <w:ind w:firstLine="560" w:firstLineChars="200"/>
        <w:jc w:val="left"/>
        <w:rPr>
          <w:rFonts w:ascii="宋体" w:hAnsi="宋体"/>
          <w:sz w:val="28"/>
          <w:szCs w:val="28"/>
        </w:rPr>
      </w:pPr>
      <w:r>
        <w:rPr>
          <w:rFonts w:hint="eastAsia" w:ascii="宋体" w:hAnsi="宋体"/>
          <w:bCs/>
          <w:sz w:val="28"/>
          <w:szCs w:val="28"/>
        </w:rPr>
        <w:t>3.各</w:t>
      </w:r>
      <w:r>
        <w:rPr>
          <w:rFonts w:hint="eastAsia" w:ascii="宋体" w:hAnsi="宋体"/>
          <w:sz w:val="28"/>
          <w:szCs w:val="28"/>
        </w:rPr>
        <w:t>单位编制预算经计划财务处汇总后，报学校财经工作领导小组、校长办公会审议，经校党委常委会审定。对应报而未报的需求项目，未纳入当年学校收支预算的，由相关单位自行负责。</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二、预算编制要求</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1.预算要求“全、实、精、准”</w:t>
      </w:r>
    </w:p>
    <w:p>
      <w:pPr>
        <w:widowControl/>
        <w:spacing w:line="360" w:lineRule="auto"/>
        <w:ind w:firstLine="560" w:firstLineChars="200"/>
        <w:jc w:val="left"/>
        <w:rPr>
          <w:rFonts w:ascii="宋体" w:hAnsi="宋体"/>
          <w:sz w:val="28"/>
          <w:szCs w:val="28"/>
        </w:rPr>
      </w:pPr>
      <w:r>
        <w:rPr>
          <w:rFonts w:hint="eastAsia" w:ascii="宋体" w:hAnsi="宋体"/>
          <w:sz w:val="28"/>
          <w:szCs w:val="28"/>
        </w:rPr>
        <w:t>预算编制要全面，结合年度工作重点，将执行环节的资金需求考虑周全；预算编制要实事求是，内容详实，有文件有依据，提供明确的论证方案和预算明细，克服经费申请的盲目性；预算编制要精准，不留缺口，不留余量。</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2.做好项目管理</w:t>
      </w:r>
    </w:p>
    <w:p>
      <w:pPr>
        <w:widowControl/>
        <w:spacing w:line="360" w:lineRule="auto"/>
        <w:ind w:firstLine="560" w:firstLineChars="200"/>
        <w:jc w:val="left"/>
        <w:rPr>
          <w:rFonts w:ascii="宋体" w:hAnsi="宋体"/>
          <w:b/>
          <w:sz w:val="28"/>
          <w:szCs w:val="28"/>
        </w:rPr>
      </w:pPr>
      <w:r>
        <w:rPr>
          <w:rFonts w:hint="eastAsia" w:ascii="宋体" w:hAnsi="宋体"/>
          <w:sz w:val="28"/>
          <w:szCs w:val="28"/>
        </w:rPr>
        <w:t>要提前做好项目谋划，有效组织科学论证，规范项目立项、细化充实项目信息，加大项目精简整合力度，加强项目绩效管理和执行过程管理。</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3.严格控制一般性支出预算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贯彻落实中央八项规定精神及实施细则，遵循建设节约型校园的理念，建立厉行节约、反对铺张浪费的长效机制，控制和降低行政运行成本，严控“三公”经费、会议费、培训费等一般性支出预算，“三公”经费原则上比上年只减不增。</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4.合理安排分年度预算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各部门要合理安排分年度预算，如项目周期超过一年，在预算申报概述中写清每年的资金需求，本次只需申报2024年的支出预算。</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5.推进预算绩效管理</w:t>
      </w:r>
    </w:p>
    <w:p>
      <w:pPr>
        <w:widowControl/>
        <w:spacing w:line="360" w:lineRule="auto"/>
        <w:ind w:firstLine="560" w:firstLineChars="200"/>
        <w:jc w:val="left"/>
        <w:rPr>
          <w:rFonts w:ascii="宋体" w:hAnsi="宋体"/>
          <w:sz w:val="28"/>
          <w:szCs w:val="28"/>
        </w:rPr>
      </w:pPr>
      <w:r>
        <w:rPr>
          <w:rFonts w:hint="eastAsia" w:ascii="宋体" w:hAnsi="宋体"/>
          <w:sz w:val="28"/>
          <w:szCs w:val="28"/>
        </w:rPr>
        <w:t>要逐步建设全方位、全过程、全覆盖的预算绩效管理体系。</w:t>
      </w:r>
    </w:p>
    <w:p>
      <w:pPr>
        <w:widowControl/>
        <w:spacing w:line="360" w:lineRule="auto"/>
        <w:ind w:firstLine="560" w:firstLineChars="200"/>
        <w:jc w:val="left"/>
        <w:rPr>
          <w:rFonts w:ascii="宋体" w:hAnsi="宋体"/>
          <w:sz w:val="28"/>
          <w:szCs w:val="28"/>
        </w:rPr>
      </w:pPr>
      <w:r>
        <w:rPr>
          <w:rFonts w:hint="eastAsia" w:ascii="宋体" w:hAnsi="宋体"/>
          <w:sz w:val="28"/>
          <w:szCs w:val="28"/>
        </w:rPr>
        <w:t>2024年各职能部门要根据部门职责和履职情况，结合年度重点工作，提炼、凝聚部门的个性绩效指标，填写并完善《江苏省省级部门整体预算绩效目标申报表（2024年）》。</w:t>
      </w:r>
    </w:p>
    <w:p>
      <w:pPr>
        <w:widowControl/>
        <w:spacing w:line="360" w:lineRule="auto"/>
        <w:ind w:firstLine="560" w:firstLineChars="200"/>
        <w:jc w:val="left"/>
        <w:rPr>
          <w:rFonts w:ascii="宋体" w:hAnsi="宋体"/>
          <w:b/>
          <w:sz w:val="28"/>
          <w:szCs w:val="28"/>
        </w:rPr>
      </w:pPr>
      <w:r>
        <w:rPr>
          <w:rFonts w:hint="eastAsia" w:ascii="宋体" w:hAnsi="宋体"/>
          <w:sz w:val="28"/>
          <w:szCs w:val="28"/>
        </w:rPr>
        <w:t>2024年各单位各部门申报的新增专项，要求全面填报《2024年常州大学专项绩效目标申报表》。包括三部分的内容：项目基本情况、具体绩效目标和绩效指标。</w:t>
      </w:r>
    </w:p>
    <w:p>
      <w:pPr>
        <w:widowControl/>
        <w:spacing w:line="360" w:lineRule="auto"/>
        <w:ind w:firstLine="551" w:firstLineChars="196"/>
        <w:jc w:val="left"/>
        <w:rPr>
          <w:rFonts w:ascii="宋体" w:hAnsi="宋体"/>
          <w:b/>
          <w:sz w:val="28"/>
          <w:szCs w:val="28"/>
        </w:rPr>
      </w:pPr>
      <w:r>
        <w:rPr>
          <w:rFonts w:hint="eastAsia" w:ascii="宋体" w:hAnsi="宋体"/>
          <w:b/>
          <w:sz w:val="28"/>
          <w:szCs w:val="28"/>
        </w:rPr>
        <w:t>6.加强学校内部控制建设</w:t>
      </w:r>
    </w:p>
    <w:p>
      <w:pPr>
        <w:widowControl/>
        <w:spacing w:line="360" w:lineRule="auto"/>
        <w:ind w:firstLine="560" w:firstLineChars="200"/>
        <w:jc w:val="left"/>
        <w:rPr>
          <w:rFonts w:ascii="宋体" w:hAnsi="宋体"/>
          <w:sz w:val="28"/>
          <w:szCs w:val="28"/>
        </w:rPr>
      </w:pPr>
      <w:r>
        <w:rPr>
          <w:rFonts w:hint="eastAsia" w:ascii="宋体" w:hAnsi="宋体"/>
          <w:sz w:val="28"/>
          <w:szCs w:val="28"/>
        </w:rPr>
        <w:t>将预算编制工作与学校内部控制建设相结合，增强风险管控意识，进一步规范经济活动和业务活动，提高预算编制的规范性、科学性和准确性。</w:t>
      </w:r>
    </w:p>
    <w:p>
      <w:pPr>
        <w:adjustRightInd w:val="0"/>
        <w:snapToGrid w:val="0"/>
        <w:spacing w:before="100" w:beforeAutospacing="1"/>
        <w:ind w:firstLine="562" w:firstLineChars="200"/>
        <w:textAlignment w:val="center"/>
        <w:rPr>
          <w:rFonts w:ascii="宋体" w:hAnsi="宋体"/>
          <w:b/>
          <w:sz w:val="28"/>
          <w:szCs w:val="28"/>
        </w:rPr>
      </w:pPr>
      <w:r>
        <w:rPr>
          <w:rFonts w:hint="eastAsia" w:ascii="宋体" w:hAnsi="宋体"/>
          <w:b/>
          <w:sz w:val="28"/>
          <w:szCs w:val="28"/>
        </w:rPr>
        <w:t>三、预算编制内容</w:t>
      </w:r>
    </w:p>
    <w:p>
      <w:pPr>
        <w:adjustRightInd w:val="0"/>
        <w:snapToGrid w:val="0"/>
        <w:spacing w:before="100" w:beforeAutospacing="1"/>
        <w:ind w:firstLine="560" w:firstLineChars="200"/>
        <w:textAlignment w:val="center"/>
        <w:rPr>
          <w:rFonts w:ascii="宋体" w:hAnsi="宋体"/>
          <w:sz w:val="28"/>
          <w:szCs w:val="28"/>
        </w:rPr>
      </w:pPr>
      <w:r>
        <w:rPr>
          <w:rFonts w:hint="eastAsia" w:ascii="宋体" w:hAnsi="宋体"/>
          <w:sz w:val="28"/>
          <w:szCs w:val="28"/>
        </w:rPr>
        <w:t>年度预算由收入预算和支出预算组成。</w:t>
      </w:r>
    </w:p>
    <w:p>
      <w:pPr>
        <w:numPr>
          <w:ilvl w:val="0"/>
          <w:numId w:val="1"/>
        </w:numPr>
        <w:adjustRightInd w:val="0"/>
        <w:snapToGrid w:val="0"/>
        <w:spacing w:before="100" w:beforeAutospacing="1" w:line="360" w:lineRule="auto"/>
        <w:ind w:firstLine="422" w:firstLineChars="150"/>
        <w:textAlignment w:val="center"/>
        <w:rPr>
          <w:rFonts w:ascii="宋体" w:hAnsi="宋体"/>
          <w:b/>
          <w:sz w:val="28"/>
          <w:szCs w:val="28"/>
        </w:rPr>
      </w:pPr>
      <w:r>
        <w:rPr>
          <w:rFonts w:hint="eastAsia" w:ascii="宋体" w:hAnsi="宋体"/>
          <w:b/>
          <w:sz w:val="28"/>
          <w:szCs w:val="28"/>
        </w:rPr>
        <w:t>收入预算</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1.财政拨款收入</w:t>
      </w:r>
    </w:p>
    <w:p>
      <w:pPr>
        <w:widowControl/>
        <w:spacing w:line="360" w:lineRule="auto"/>
        <w:ind w:firstLine="560" w:firstLineChars="200"/>
        <w:jc w:val="left"/>
        <w:rPr>
          <w:rFonts w:ascii="宋体" w:hAnsi="宋体"/>
          <w:sz w:val="28"/>
          <w:szCs w:val="28"/>
        </w:rPr>
      </w:pPr>
      <w:r>
        <w:rPr>
          <w:rFonts w:ascii="宋体" w:hAnsi="宋体"/>
          <w:sz w:val="28"/>
          <w:szCs w:val="28"/>
        </w:rPr>
        <w:t>财政拨款收入指财政部门核拨给</w:t>
      </w:r>
      <w:r>
        <w:rPr>
          <w:rFonts w:hint="eastAsia" w:ascii="宋体" w:hAnsi="宋体"/>
          <w:sz w:val="28"/>
          <w:szCs w:val="28"/>
        </w:rPr>
        <w:t>学校</w:t>
      </w:r>
      <w:r>
        <w:rPr>
          <w:rFonts w:ascii="宋体" w:hAnsi="宋体"/>
          <w:sz w:val="28"/>
          <w:szCs w:val="28"/>
        </w:rPr>
        <w:t>的财政预算资金</w:t>
      </w:r>
      <w:r>
        <w:rPr>
          <w:rFonts w:hint="eastAsia" w:ascii="宋体" w:hAnsi="宋体"/>
          <w:sz w:val="28"/>
          <w:szCs w:val="28"/>
        </w:rPr>
        <w:t>，包括一般公共预算拨款收入和财政专项拨款收入。一般公共预算拨款收入按照在校学生人数乘以省属院校生均定额标准测算；财政专项拨款收入按照以前年度专项拨款及各部门财政专项申报情况测算。</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 xml:space="preserve">2.教育经费收入 </w:t>
      </w:r>
    </w:p>
    <w:p>
      <w:pPr>
        <w:widowControl/>
        <w:spacing w:line="360" w:lineRule="auto"/>
        <w:ind w:firstLine="560" w:firstLineChars="200"/>
        <w:jc w:val="left"/>
        <w:rPr>
          <w:rFonts w:ascii="宋体" w:hAnsi="宋体"/>
          <w:sz w:val="28"/>
          <w:szCs w:val="28"/>
        </w:rPr>
      </w:pPr>
      <w:r>
        <w:rPr>
          <w:rFonts w:hint="eastAsia" w:ascii="宋体" w:hAnsi="宋体"/>
          <w:sz w:val="28"/>
          <w:szCs w:val="28"/>
        </w:rPr>
        <w:t>教育经费收入指缴入财政专户管理的各类教育收费，包括学费、住宿费收入,考试报名费等其他非税收入。根据在校学生人数并</w:t>
      </w:r>
      <w:r>
        <w:rPr>
          <w:rFonts w:ascii="宋体" w:hAnsi="宋体"/>
          <w:sz w:val="28"/>
          <w:szCs w:val="28"/>
        </w:rPr>
        <w:t>考虑相应的欠费率测算</w:t>
      </w:r>
      <w:r>
        <w:rPr>
          <w:rFonts w:hint="eastAsia" w:ascii="宋体" w:hAnsi="宋体"/>
          <w:sz w:val="28"/>
          <w:szCs w:val="28"/>
        </w:rPr>
        <w:t>。</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3.科研事业收入</w:t>
      </w:r>
    </w:p>
    <w:p>
      <w:pPr>
        <w:widowControl/>
        <w:spacing w:line="360" w:lineRule="auto"/>
        <w:ind w:firstLine="560" w:firstLineChars="200"/>
        <w:jc w:val="left"/>
        <w:rPr>
          <w:rFonts w:ascii="宋体" w:hAnsi="宋体"/>
          <w:b/>
          <w:sz w:val="28"/>
          <w:szCs w:val="28"/>
        </w:rPr>
      </w:pPr>
      <w:r>
        <w:rPr>
          <w:rFonts w:ascii="宋体" w:hAnsi="宋体"/>
          <w:sz w:val="28"/>
          <w:szCs w:val="28"/>
        </w:rPr>
        <w:t>科研事业收入</w:t>
      </w:r>
      <w:r>
        <w:rPr>
          <w:rFonts w:hint="eastAsia" w:ascii="宋体" w:hAnsi="宋体"/>
          <w:sz w:val="28"/>
          <w:szCs w:val="28"/>
        </w:rPr>
        <w:t>指</w:t>
      </w:r>
      <w:r>
        <w:rPr>
          <w:rFonts w:ascii="宋体" w:hAnsi="宋体"/>
          <w:sz w:val="28"/>
          <w:szCs w:val="28"/>
        </w:rPr>
        <w:t>学校科研及其辅助活动所取得的收入，包括通过承接科技项目、开展科研协作、转让科技成果、进行科技咨询所取得的收入，以及其他科研事业收入等。</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4.附属单位上缴收入</w:t>
      </w:r>
    </w:p>
    <w:p>
      <w:pPr>
        <w:widowControl/>
        <w:spacing w:line="360" w:lineRule="auto"/>
        <w:ind w:firstLine="560" w:firstLineChars="200"/>
        <w:jc w:val="left"/>
        <w:rPr>
          <w:rFonts w:ascii="宋体" w:hAnsi="宋体"/>
          <w:sz w:val="28"/>
          <w:szCs w:val="28"/>
        </w:rPr>
      </w:pPr>
      <w:r>
        <w:rPr>
          <w:rFonts w:hint="eastAsia" w:ascii="宋体" w:hAnsi="宋体"/>
          <w:sz w:val="28"/>
          <w:szCs w:val="28"/>
        </w:rPr>
        <w:t>附属单位上缴收入指学校附属独立核算单位按照有关规定上缴的收入。</w:t>
      </w:r>
      <w:r>
        <w:rPr>
          <w:rFonts w:ascii="宋体" w:hAnsi="宋体"/>
          <w:sz w:val="28"/>
          <w:szCs w:val="28"/>
        </w:rPr>
        <w:t>在附属单位预测收入的基础上，根据学校有关政策测算。</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5.其他收入</w:t>
      </w:r>
    </w:p>
    <w:p>
      <w:pPr>
        <w:widowControl/>
        <w:spacing w:line="360" w:lineRule="auto"/>
        <w:ind w:firstLine="560" w:firstLineChars="200"/>
        <w:jc w:val="left"/>
        <w:rPr>
          <w:rFonts w:ascii="宋体" w:hAnsi="宋体"/>
          <w:sz w:val="28"/>
          <w:szCs w:val="28"/>
        </w:rPr>
      </w:pPr>
      <w:r>
        <w:rPr>
          <w:rFonts w:hint="eastAsia" w:ascii="宋体" w:hAnsi="宋体"/>
          <w:sz w:val="28"/>
          <w:szCs w:val="28"/>
        </w:rPr>
        <w:t>其他收入指除上述资金来源以外的自筹经费收入，主要包括会议费、培训费、捐赠、出租出借、科研管理费等收入。</w:t>
      </w:r>
      <w:r>
        <w:rPr>
          <w:rFonts w:ascii="宋体" w:hAnsi="宋体"/>
          <w:sz w:val="28"/>
          <w:szCs w:val="28"/>
        </w:rPr>
        <w:t>根据前三年实际</w:t>
      </w:r>
      <w:r>
        <w:rPr>
          <w:rFonts w:hint="eastAsia" w:ascii="宋体" w:hAnsi="宋体"/>
          <w:sz w:val="28"/>
          <w:szCs w:val="28"/>
        </w:rPr>
        <w:t>收入</w:t>
      </w:r>
      <w:r>
        <w:rPr>
          <w:rFonts w:ascii="宋体" w:hAnsi="宋体"/>
          <w:sz w:val="28"/>
          <w:szCs w:val="28"/>
        </w:rPr>
        <w:t>的变化趋势测算</w:t>
      </w:r>
      <w:r>
        <w:rPr>
          <w:rFonts w:hint="eastAsia" w:ascii="宋体" w:hAnsi="宋体"/>
          <w:sz w:val="28"/>
          <w:szCs w:val="28"/>
        </w:rPr>
        <w:t>。</w:t>
      </w:r>
    </w:p>
    <w:p>
      <w:pPr>
        <w:widowControl/>
        <w:spacing w:line="360" w:lineRule="auto"/>
        <w:ind w:firstLine="413" w:firstLineChars="147"/>
        <w:jc w:val="left"/>
        <w:rPr>
          <w:rFonts w:ascii="宋体" w:hAnsi="宋体"/>
          <w:b/>
          <w:sz w:val="28"/>
          <w:szCs w:val="28"/>
        </w:rPr>
      </w:pPr>
      <w:r>
        <w:rPr>
          <w:rFonts w:hint="eastAsia" w:ascii="宋体" w:hAnsi="宋体"/>
          <w:b/>
          <w:sz w:val="28"/>
          <w:szCs w:val="28"/>
        </w:rPr>
        <w:t>（二）支出预算</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1.人员经费预算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2024年人员经费预算由人事处填报，包括在职、离退休人员的各项工资支出。在职人员工资包括基本工资及国家规定的津贴补贴、绩效工资、社会保险、高层次人才工资、2024年拟引进人员工资、自然增资等。</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2.部门经费预算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职能部门和直属单位经费预算包括办公费、业务费和专项经费，经费预算需填报《常州大学校内预算申报表》，要求填写申报概述，明确经费使用范围、金额及测算依据。新增专项要有详细的论证方案，明细的预算，明确的项目绩效目标。各部门要全面梳理现有经费的执行情况，明确专项经费的用途和使用范围，撤销与现阶段实际工作不相符的专项，合并性质类似专项，提高专项经费使用效益。</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3.设备、软件购置预算</w:t>
      </w:r>
    </w:p>
    <w:p>
      <w:pPr>
        <w:widowControl/>
        <w:spacing w:line="360" w:lineRule="auto"/>
        <w:ind w:firstLine="560" w:firstLineChars="200"/>
        <w:jc w:val="left"/>
        <w:rPr>
          <w:rFonts w:ascii="宋体" w:hAnsi="宋体"/>
          <w:b/>
          <w:sz w:val="28"/>
          <w:szCs w:val="28"/>
        </w:rPr>
      </w:pPr>
      <w:r>
        <w:rPr>
          <w:rFonts w:hint="eastAsia" w:ascii="宋体" w:hAnsi="宋体"/>
          <w:sz w:val="28"/>
          <w:szCs w:val="28"/>
        </w:rPr>
        <w:t>专用设备购置原则上在中央支持地方高校、协同创新、品牌专业、优势学科等财政专项经费中列支，行政设备购置、实验室建设、搬迁、改造报实验室建设与管理处审核，软件购置报信息化建设与管理处审核。</w:t>
      </w:r>
    </w:p>
    <w:p>
      <w:pPr>
        <w:widowControl/>
        <w:spacing w:line="360" w:lineRule="auto"/>
        <w:ind w:firstLine="551" w:firstLineChars="196"/>
        <w:jc w:val="left"/>
        <w:rPr>
          <w:rFonts w:ascii="宋体" w:hAnsi="宋体"/>
          <w:b/>
          <w:sz w:val="28"/>
          <w:szCs w:val="28"/>
        </w:rPr>
      </w:pPr>
      <w:r>
        <w:rPr>
          <w:rFonts w:hint="eastAsia" w:ascii="宋体" w:hAnsi="宋体"/>
          <w:b/>
          <w:sz w:val="28"/>
          <w:szCs w:val="28"/>
        </w:rPr>
        <w:t>4.图书购置、维修改造预算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图书馆根据2024年图书、期刊、电子数据库等购置计划填报《图书馆预算付款明细表》；各校区根据2024年维修改造付款需要，填报《维修改造立项付款明细表》。</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5.基本建设支出预算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基建处根据学校当年基本建设工程进度和2024年支付计划，填报《基本建设支出预算表》。</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6.两级管理学院经费预算</w:t>
      </w:r>
    </w:p>
    <w:p>
      <w:pPr>
        <w:widowControl/>
        <w:spacing w:line="360" w:lineRule="auto"/>
        <w:ind w:firstLine="560" w:firstLineChars="200"/>
        <w:jc w:val="left"/>
        <w:rPr>
          <w:rFonts w:ascii="宋体" w:hAnsi="宋体"/>
          <w:sz w:val="28"/>
          <w:szCs w:val="28"/>
        </w:rPr>
      </w:pPr>
      <w:r>
        <w:rPr>
          <w:rFonts w:hint="eastAsia" w:ascii="宋体" w:hAnsi="宋体"/>
          <w:sz w:val="28"/>
          <w:szCs w:val="28"/>
        </w:rPr>
        <w:t>学校根据《常州大学校院财务两级管理实施办法》（常大〔2016〕93号）确定各学院拨款指标，学院在可用经费总额度内编制经费预算，包括教学经费和学生经费。学院专项经费预算参照部门专项经费预算编制。</w:t>
      </w:r>
    </w:p>
    <w:p>
      <w:pPr>
        <w:widowControl/>
        <w:spacing w:line="360" w:lineRule="auto"/>
        <w:ind w:firstLine="562" w:firstLineChars="200"/>
        <w:jc w:val="left"/>
        <w:rPr>
          <w:rFonts w:ascii="宋体" w:hAnsi="宋体"/>
          <w:b/>
          <w:sz w:val="28"/>
          <w:szCs w:val="28"/>
        </w:rPr>
      </w:pPr>
      <w:r>
        <w:rPr>
          <w:rFonts w:hint="eastAsia" w:ascii="宋体" w:hAnsi="宋体"/>
          <w:b/>
          <w:sz w:val="28"/>
          <w:szCs w:val="28"/>
        </w:rPr>
        <w:t>7.</w:t>
      </w:r>
      <w:r>
        <w:rPr>
          <w:rFonts w:hint="eastAsia"/>
        </w:rPr>
        <w:t xml:space="preserve"> </w:t>
      </w:r>
      <w:r>
        <w:rPr>
          <w:rFonts w:hint="eastAsia" w:ascii="宋体" w:hAnsi="宋体"/>
          <w:b/>
          <w:sz w:val="28"/>
          <w:szCs w:val="28"/>
        </w:rPr>
        <w:t>其他需要相关部门提供的材料如下：</w:t>
      </w:r>
    </w:p>
    <w:tbl>
      <w:tblPr>
        <w:tblStyle w:val="9"/>
        <w:tblW w:w="0" w:type="auto"/>
        <w:jc w:val="center"/>
        <w:tblLayout w:type="fixed"/>
        <w:tblCellMar>
          <w:top w:w="0" w:type="dxa"/>
          <w:left w:w="108" w:type="dxa"/>
          <w:bottom w:w="0" w:type="dxa"/>
          <w:right w:w="108" w:type="dxa"/>
        </w:tblCellMar>
      </w:tblPr>
      <w:tblGrid>
        <w:gridCol w:w="884"/>
        <w:gridCol w:w="1702"/>
        <w:gridCol w:w="5870"/>
      </w:tblGrid>
      <w:tr>
        <w:tblPrEx>
          <w:tblCellMar>
            <w:top w:w="0" w:type="dxa"/>
            <w:left w:w="108" w:type="dxa"/>
            <w:bottom w:w="0" w:type="dxa"/>
            <w:right w:w="108" w:type="dxa"/>
          </w:tblCellMar>
        </w:tblPrEx>
        <w:trPr>
          <w:trHeight w:val="469" w:hRule="atLeast"/>
          <w:jc w:val="center"/>
        </w:trPr>
        <w:tc>
          <w:tcPr>
            <w:tcW w:w="8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序号</w:t>
            </w:r>
          </w:p>
        </w:tc>
        <w:tc>
          <w:tcPr>
            <w:tcW w:w="170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部门</w:t>
            </w:r>
          </w:p>
        </w:tc>
        <w:tc>
          <w:tcPr>
            <w:tcW w:w="587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
                <w:kern w:val="0"/>
                <w:sz w:val="28"/>
                <w:szCs w:val="28"/>
              </w:rPr>
            </w:pPr>
            <w:r>
              <w:rPr>
                <w:rFonts w:hint="eastAsia" w:ascii="宋体" w:hAnsi="宋体" w:cs="宋体"/>
                <w:b/>
                <w:kern w:val="0"/>
                <w:sz w:val="28"/>
                <w:szCs w:val="28"/>
              </w:rPr>
              <w:t>材料内容</w:t>
            </w:r>
          </w:p>
        </w:tc>
      </w:tr>
      <w:tr>
        <w:tblPrEx>
          <w:tblCellMar>
            <w:top w:w="0" w:type="dxa"/>
            <w:left w:w="108" w:type="dxa"/>
            <w:bottom w:w="0" w:type="dxa"/>
            <w:right w:w="108" w:type="dxa"/>
          </w:tblCellMar>
        </w:tblPrEx>
        <w:trPr>
          <w:trHeight w:val="513" w:hRule="atLeast"/>
          <w:jc w:val="center"/>
        </w:trPr>
        <w:tc>
          <w:tcPr>
            <w:tcW w:w="8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1</w:t>
            </w:r>
          </w:p>
        </w:tc>
        <w:tc>
          <w:tcPr>
            <w:tcW w:w="170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人事处</w:t>
            </w:r>
          </w:p>
        </w:tc>
        <w:tc>
          <w:tcPr>
            <w:tcW w:w="5870"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分学院教职工人数</w:t>
            </w:r>
          </w:p>
        </w:tc>
      </w:tr>
      <w:tr>
        <w:tblPrEx>
          <w:tblCellMar>
            <w:top w:w="0" w:type="dxa"/>
            <w:left w:w="108" w:type="dxa"/>
            <w:bottom w:w="0" w:type="dxa"/>
            <w:right w:w="108" w:type="dxa"/>
          </w:tblCellMar>
        </w:tblPrEx>
        <w:trPr>
          <w:trHeight w:val="435" w:hRule="atLeast"/>
          <w:jc w:val="center"/>
        </w:trPr>
        <w:tc>
          <w:tcPr>
            <w:tcW w:w="884"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2</w:t>
            </w:r>
          </w:p>
        </w:tc>
        <w:tc>
          <w:tcPr>
            <w:tcW w:w="1702"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教务处</w:t>
            </w:r>
          </w:p>
        </w:tc>
        <w:tc>
          <w:tcPr>
            <w:tcW w:w="5870"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分学科、学院在校本科生人数</w:t>
            </w:r>
          </w:p>
        </w:tc>
      </w:tr>
      <w:tr>
        <w:tblPrEx>
          <w:tblCellMar>
            <w:top w:w="0" w:type="dxa"/>
            <w:left w:w="108" w:type="dxa"/>
            <w:bottom w:w="0" w:type="dxa"/>
            <w:right w:w="108" w:type="dxa"/>
          </w:tblCellMar>
        </w:tblPrEx>
        <w:trPr>
          <w:trHeight w:val="435" w:hRule="atLeast"/>
          <w:jc w:val="center"/>
        </w:trPr>
        <w:tc>
          <w:tcPr>
            <w:tcW w:w="8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3</w:t>
            </w:r>
          </w:p>
        </w:tc>
        <w:tc>
          <w:tcPr>
            <w:tcW w:w="170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研究生院</w:t>
            </w:r>
          </w:p>
        </w:tc>
        <w:tc>
          <w:tcPr>
            <w:tcW w:w="587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分学科、学院在校全日制研究生、博士生人数</w:t>
            </w:r>
          </w:p>
        </w:tc>
      </w:tr>
      <w:tr>
        <w:tblPrEx>
          <w:tblCellMar>
            <w:top w:w="0" w:type="dxa"/>
            <w:left w:w="108" w:type="dxa"/>
            <w:bottom w:w="0" w:type="dxa"/>
            <w:right w:w="108" w:type="dxa"/>
          </w:tblCellMar>
        </w:tblPrEx>
        <w:trPr>
          <w:trHeight w:val="435" w:hRule="atLeast"/>
          <w:jc w:val="center"/>
        </w:trPr>
        <w:tc>
          <w:tcPr>
            <w:tcW w:w="88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4</w:t>
            </w:r>
          </w:p>
        </w:tc>
        <w:tc>
          <w:tcPr>
            <w:tcW w:w="1702"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8"/>
                <w:szCs w:val="28"/>
              </w:rPr>
            </w:pPr>
            <w:r>
              <w:rPr>
                <w:rFonts w:hint="eastAsia" w:ascii="宋体" w:hAnsi="宋体" w:cs="宋体"/>
                <w:kern w:val="0"/>
                <w:sz w:val="28"/>
                <w:szCs w:val="28"/>
              </w:rPr>
              <w:t>国际交流处</w:t>
            </w:r>
          </w:p>
        </w:tc>
        <w:tc>
          <w:tcPr>
            <w:tcW w:w="587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cs="宋体"/>
                <w:kern w:val="0"/>
                <w:sz w:val="28"/>
                <w:szCs w:val="28"/>
              </w:rPr>
            </w:pPr>
            <w:r>
              <w:rPr>
                <w:rFonts w:hint="eastAsia" w:ascii="宋体" w:hAnsi="宋体" w:cs="宋体"/>
                <w:kern w:val="0"/>
                <w:sz w:val="28"/>
                <w:szCs w:val="28"/>
              </w:rPr>
              <w:t>分学科、学院在校留学生人数</w:t>
            </w:r>
          </w:p>
        </w:tc>
      </w:tr>
    </w:tbl>
    <w:p>
      <w:pPr>
        <w:spacing w:line="360" w:lineRule="auto"/>
        <w:ind w:firstLine="562" w:firstLineChars="200"/>
        <w:rPr>
          <w:b/>
          <w:sz w:val="28"/>
          <w:szCs w:val="28"/>
          <w:highlight w:val="yellow"/>
          <w:u w:val="single"/>
        </w:rPr>
      </w:pPr>
      <w:r>
        <w:rPr>
          <w:rFonts w:hint="eastAsia"/>
          <w:b/>
          <w:sz w:val="28"/>
          <w:szCs w:val="28"/>
        </w:rPr>
        <w:t>四、预算编制程序</w:t>
      </w:r>
    </w:p>
    <w:p>
      <w:pPr>
        <w:widowControl/>
        <w:spacing w:line="360" w:lineRule="auto"/>
        <w:ind w:firstLine="560" w:firstLineChars="200"/>
        <w:jc w:val="left"/>
        <w:rPr>
          <w:rFonts w:ascii="宋体" w:hAnsi="宋体"/>
          <w:sz w:val="28"/>
          <w:szCs w:val="28"/>
        </w:rPr>
      </w:pPr>
      <w:r>
        <w:rPr>
          <w:rFonts w:hint="eastAsia" w:ascii="宋体" w:hAnsi="宋体"/>
          <w:sz w:val="28"/>
          <w:szCs w:val="28"/>
        </w:rPr>
        <w:t>2024年学校预算编制程序遵循“二上二下”原则，具体如下：</w:t>
      </w:r>
    </w:p>
    <w:p>
      <w:pPr>
        <w:widowControl/>
        <w:spacing w:line="360" w:lineRule="auto"/>
        <w:ind w:firstLine="562" w:firstLineChars="200"/>
        <w:jc w:val="left"/>
        <w:rPr>
          <w:rFonts w:ascii="宋体" w:hAnsi="宋体"/>
          <w:b/>
          <w:bCs/>
          <w:sz w:val="28"/>
          <w:szCs w:val="28"/>
        </w:rPr>
      </w:pPr>
      <w:r>
        <w:rPr>
          <w:rFonts w:hint="eastAsia" w:ascii="宋体" w:hAnsi="宋体"/>
          <w:b/>
          <w:bCs/>
          <w:sz w:val="28"/>
          <w:szCs w:val="28"/>
        </w:rPr>
        <w:t>1.两级管理经费</w:t>
      </w:r>
    </w:p>
    <w:p>
      <w:pPr>
        <w:widowControl/>
        <w:spacing w:line="360" w:lineRule="auto"/>
        <w:ind w:firstLine="560" w:firstLineChars="200"/>
        <w:jc w:val="left"/>
        <w:rPr>
          <w:rFonts w:ascii="宋体" w:hAnsi="宋体"/>
          <w:sz w:val="28"/>
          <w:szCs w:val="28"/>
        </w:rPr>
      </w:pPr>
      <w:r>
        <w:rPr>
          <w:rFonts w:hint="eastAsia" w:ascii="宋体" w:hAnsi="宋体"/>
          <w:sz w:val="28"/>
          <w:szCs w:val="28"/>
        </w:rPr>
        <w:t>“一上”阶段，学校根据教职员工数、学生人数确定各学院拨款指标，学院核对拨款指标后在可用经费总额度内编制预算；“一下”阶段，学校考虑各学院学费欠费率，再次核准学院拨款指标；“二上”阶段，各学院根据核准后的拨款指标，完善调整上报预算；“二下”阶段，经学校财经工作领导小组、校长办公会审议、校党委常委会审定后，下拨预算资金。</w:t>
      </w:r>
    </w:p>
    <w:p>
      <w:pPr>
        <w:widowControl/>
        <w:spacing w:line="360" w:lineRule="auto"/>
        <w:ind w:firstLine="562" w:firstLineChars="200"/>
        <w:jc w:val="left"/>
        <w:rPr>
          <w:rFonts w:ascii="宋体" w:hAnsi="宋体"/>
          <w:b/>
          <w:bCs/>
          <w:sz w:val="28"/>
          <w:szCs w:val="28"/>
        </w:rPr>
      </w:pPr>
      <w:r>
        <w:rPr>
          <w:rFonts w:hint="eastAsia" w:ascii="宋体" w:hAnsi="宋体"/>
          <w:b/>
          <w:bCs/>
          <w:sz w:val="28"/>
          <w:szCs w:val="28"/>
        </w:rPr>
        <w:t>2.校内专项经费</w:t>
      </w:r>
    </w:p>
    <w:p>
      <w:pPr>
        <w:widowControl/>
        <w:spacing w:line="360" w:lineRule="auto"/>
        <w:ind w:firstLine="560" w:firstLineChars="200"/>
        <w:jc w:val="left"/>
        <w:rPr>
          <w:rFonts w:ascii="宋体" w:hAnsi="宋体"/>
          <w:sz w:val="28"/>
          <w:szCs w:val="28"/>
        </w:rPr>
      </w:pPr>
      <w:r>
        <w:rPr>
          <w:rFonts w:hint="eastAsia" w:ascii="宋体" w:hAnsi="宋体"/>
          <w:sz w:val="28"/>
          <w:szCs w:val="28"/>
        </w:rPr>
        <w:t>“一上”阶段，各部门结合下年度工作重点，真实、完整、准确申报预算；“一下”阶段，计划财务处对各部门的预算方案进行归集、测算、分析，形成预算草案，经学校财经工作领导小组、校长办公会审议、校党委常委会审定后，下拨预算资金；“二上”阶段，金额在5万元（含）以上的重大专项资金填报明细预算；“二下”阶段，明细预算审批后，下拨预算资金。</w:t>
      </w:r>
    </w:p>
    <w:p>
      <w:pPr>
        <w:widowControl/>
        <w:spacing w:line="360" w:lineRule="auto"/>
        <w:ind w:firstLine="560" w:firstLineChars="200"/>
        <w:jc w:val="left"/>
        <w:rPr>
          <w:rFonts w:ascii="宋体" w:hAnsi="宋体"/>
          <w:sz w:val="28"/>
          <w:szCs w:val="28"/>
        </w:rPr>
      </w:pPr>
    </w:p>
    <w:p>
      <w:pPr>
        <w:widowControl/>
        <w:spacing w:line="360" w:lineRule="auto"/>
        <w:ind w:firstLine="560" w:firstLineChars="200"/>
        <w:jc w:val="left"/>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 xml:space="preserve">                                           计划财务处</w:t>
      </w:r>
    </w:p>
    <w:p>
      <w:pPr>
        <w:adjustRightInd w:val="0"/>
        <w:snapToGrid w:val="0"/>
        <w:spacing w:line="360" w:lineRule="auto"/>
        <w:rPr>
          <w:rFonts w:ascii="宋体" w:hAnsi="宋体"/>
          <w:sz w:val="28"/>
          <w:szCs w:val="28"/>
        </w:rPr>
      </w:pPr>
      <w:r>
        <w:rPr>
          <w:rFonts w:hint="eastAsia" w:ascii="宋体" w:hAnsi="宋体"/>
          <w:sz w:val="28"/>
          <w:szCs w:val="28"/>
        </w:rPr>
        <w:t xml:space="preserve">                                        2023年11月15日</w:t>
      </w:r>
    </w:p>
    <w:p>
      <w:pPr>
        <w:adjustRightInd w:val="0"/>
        <w:snapToGrid w:val="0"/>
        <w:spacing w:after="100" w:afterAutospacing="1"/>
      </w:pPr>
    </w:p>
    <w:sectPr>
      <w:headerReference r:id="rId3" w:type="default"/>
      <w:footerReference r:id="rId4" w:type="default"/>
      <w:pgSz w:w="11906" w:h="16838"/>
      <w:pgMar w:top="1304" w:right="1758" w:bottom="1304" w:left="175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XiaoBiaoSong-B05">
    <w:altName w:val="宋体"/>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ZKai-Z03S">
    <w:altName w:val="宋体"/>
    <w:panose1 w:val="00000000000000000000"/>
    <w:charset w:val="86"/>
    <w:family w:val="swiss"/>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5CA49"/>
    <w:multiLevelType w:val="singleLevel"/>
    <w:tmpl w:val="0AE5CA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NTI2ZmNhOGRjZTJmMTcwN2ZiMGUyMzNiYmUxNDUifQ=="/>
  </w:docVars>
  <w:rsids>
    <w:rsidRoot w:val="008D5313"/>
    <w:rsid w:val="00007AE8"/>
    <w:rsid w:val="00043073"/>
    <w:rsid w:val="00106995"/>
    <w:rsid w:val="00144EA1"/>
    <w:rsid w:val="00191F99"/>
    <w:rsid w:val="001C48F6"/>
    <w:rsid w:val="001F21CA"/>
    <w:rsid w:val="00275B07"/>
    <w:rsid w:val="00292468"/>
    <w:rsid w:val="00303082"/>
    <w:rsid w:val="00362E04"/>
    <w:rsid w:val="00364FBE"/>
    <w:rsid w:val="00365757"/>
    <w:rsid w:val="003760F9"/>
    <w:rsid w:val="003911FA"/>
    <w:rsid w:val="003969B7"/>
    <w:rsid w:val="003C6A58"/>
    <w:rsid w:val="003E01EB"/>
    <w:rsid w:val="004055D1"/>
    <w:rsid w:val="00406D0D"/>
    <w:rsid w:val="004363B5"/>
    <w:rsid w:val="0044409C"/>
    <w:rsid w:val="0049540A"/>
    <w:rsid w:val="004C2CB1"/>
    <w:rsid w:val="004E3892"/>
    <w:rsid w:val="004E6BB8"/>
    <w:rsid w:val="005802B1"/>
    <w:rsid w:val="005C6AEB"/>
    <w:rsid w:val="00605919"/>
    <w:rsid w:val="0062090A"/>
    <w:rsid w:val="00622CC5"/>
    <w:rsid w:val="00647019"/>
    <w:rsid w:val="006A056A"/>
    <w:rsid w:val="006A5802"/>
    <w:rsid w:val="006B34D8"/>
    <w:rsid w:val="006B36A7"/>
    <w:rsid w:val="00746127"/>
    <w:rsid w:val="00764314"/>
    <w:rsid w:val="00787202"/>
    <w:rsid w:val="00800B69"/>
    <w:rsid w:val="008C69DC"/>
    <w:rsid w:val="008D5313"/>
    <w:rsid w:val="008E6201"/>
    <w:rsid w:val="00916E75"/>
    <w:rsid w:val="00992100"/>
    <w:rsid w:val="009C73F5"/>
    <w:rsid w:val="009D5332"/>
    <w:rsid w:val="00A15C0C"/>
    <w:rsid w:val="00A31CF2"/>
    <w:rsid w:val="00A3324A"/>
    <w:rsid w:val="00A545FB"/>
    <w:rsid w:val="00AD2A52"/>
    <w:rsid w:val="00B3160B"/>
    <w:rsid w:val="00B42ED8"/>
    <w:rsid w:val="00BE3EFA"/>
    <w:rsid w:val="00C027B0"/>
    <w:rsid w:val="00C20F87"/>
    <w:rsid w:val="00CB385C"/>
    <w:rsid w:val="00CC1FE4"/>
    <w:rsid w:val="00CD3849"/>
    <w:rsid w:val="00D73E74"/>
    <w:rsid w:val="00D96D6F"/>
    <w:rsid w:val="00DB5B36"/>
    <w:rsid w:val="00DC6FED"/>
    <w:rsid w:val="00E00304"/>
    <w:rsid w:val="00E43DA7"/>
    <w:rsid w:val="00E660F0"/>
    <w:rsid w:val="00E748F4"/>
    <w:rsid w:val="00E9395C"/>
    <w:rsid w:val="00EC02E9"/>
    <w:rsid w:val="00EC0D8F"/>
    <w:rsid w:val="00EC2EF1"/>
    <w:rsid w:val="00EC4D7B"/>
    <w:rsid w:val="00EE1223"/>
    <w:rsid w:val="00F103C1"/>
    <w:rsid w:val="00F60159"/>
    <w:rsid w:val="00FE1DB4"/>
    <w:rsid w:val="0137353C"/>
    <w:rsid w:val="01F944C1"/>
    <w:rsid w:val="022C2C17"/>
    <w:rsid w:val="023D220D"/>
    <w:rsid w:val="02601021"/>
    <w:rsid w:val="0262367F"/>
    <w:rsid w:val="02DE4F7A"/>
    <w:rsid w:val="03093A6F"/>
    <w:rsid w:val="034877EC"/>
    <w:rsid w:val="03B22EB7"/>
    <w:rsid w:val="03C153F9"/>
    <w:rsid w:val="041C302D"/>
    <w:rsid w:val="07416A2C"/>
    <w:rsid w:val="07B46FEC"/>
    <w:rsid w:val="08641E7D"/>
    <w:rsid w:val="08D44D69"/>
    <w:rsid w:val="0946022C"/>
    <w:rsid w:val="097A5637"/>
    <w:rsid w:val="09B0538D"/>
    <w:rsid w:val="0A454A85"/>
    <w:rsid w:val="0A5B69DB"/>
    <w:rsid w:val="0A65683B"/>
    <w:rsid w:val="0B224068"/>
    <w:rsid w:val="0B884FE1"/>
    <w:rsid w:val="0B8A38CE"/>
    <w:rsid w:val="0C2B426C"/>
    <w:rsid w:val="0DC76080"/>
    <w:rsid w:val="0DD759F4"/>
    <w:rsid w:val="0DEF55F1"/>
    <w:rsid w:val="100E1CAC"/>
    <w:rsid w:val="10C946ED"/>
    <w:rsid w:val="10D836E2"/>
    <w:rsid w:val="115B7EFE"/>
    <w:rsid w:val="12F82D59"/>
    <w:rsid w:val="13C55F15"/>
    <w:rsid w:val="15BB48BB"/>
    <w:rsid w:val="15C2464B"/>
    <w:rsid w:val="162F3D93"/>
    <w:rsid w:val="1649352F"/>
    <w:rsid w:val="16D927DD"/>
    <w:rsid w:val="171528B4"/>
    <w:rsid w:val="18522052"/>
    <w:rsid w:val="18C872A4"/>
    <w:rsid w:val="19745573"/>
    <w:rsid w:val="1B545651"/>
    <w:rsid w:val="1D1E76C0"/>
    <w:rsid w:val="1F0A0514"/>
    <w:rsid w:val="1FFC753C"/>
    <w:rsid w:val="205520B6"/>
    <w:rsid w:val="21517444"/>
    <w:rsid w:val="221E650D"/>
    <w:rsid w:val="23072C3B"/>
    <w:rsid w:val="23275824"/>
    <w:rsid w:val="24030C4A"/>
    <w:rsid w:val="24393393"/>
    <w:rsid w:val="24B77ED6"/>
    <w:rsid w:val="24CB77AC"/>
    <w:rsid w:val="25A20A8E"/>
    <w:rsid w:val="26706341"/>
    <w:rsid w:val="276D0802"/>
    <w:rsid w:val="27BD649D"/>
    <w:rsid w:val="28D510B2"/>
    <w:rsid w:val="29AE2705"/>
    <w:rsid w:val="2A505B14"/>
    <w:rsid w:val="2A55631A"/>
    <w:rsid w:val="2ABA1B25"/>
    <w:rsid w:val="2B0F6376"/>
    <w:rsid w:val="2C9C5D58"/>
    <w:rsid w:val="2C9F0EA3"/>
    <w:rsid w:val="2CBA208D"/>
    <w:rsid w:val="2CDD5D7F"/>
    <w:rsid w:val="2F157884"/>
    <w:rsid w:val="2F737925"/>
    <w:rsid w:val="2FCB218E"/>
    <w:rsid w:val="30197155"/>
    <w:rsid w:val="30960809"/>
    <w:rsid w:val="30B33C47"/>
    <w:rsid w:val="31E63BC3"/>
    <w:rsid w:val="325F5E35"/>
    <w:rsid w:val="332B7AB5"/>
    <w:rsid w:val="34172535"/>
    <w:rsid w:val="34F54500"/>
    <w:rsid w:val="364E2A02"/>
    <w:rsid w:val="384F2591"/>
    <w:rsid w:val="38590F9C"/>
    <w:rsid w:val="3882626A"/>
    <w:rsid w:val="38C5276A"/>
    <w:rsid w:val="391A2AB5"/>
    <w:rsid w:val="39A3005F"/>
    <w:rsid w:val="3A1757D5"/>
    <w:rsid w:val="3A9F12ED"/>
    <w:rsid w:val="3AA421AF"/>
    <w:rsid w:val="3B503C28"/>
    <w:rsid w:val="3B6B75C6"/>
    <w:rsid w:val="3B752FB8"/>
    <w:rsid w:val="3BB61272"/>
    <w:rsid w:val="3C66695C"/>
    <w:rsid w:val="3CA24532"/>
    <w:rsid w:val="3CE65E70"/>
    <w:rsid w:val="3DC54B88"/>
    <w:rsid w:val="3EA03784"/>
    <w:rsid w:val="3EEB2835"/>
    <w:rsid w:val="409E6BFC"/>
    <w:rsid w:val="4312200F"/>
    <w:rsid w:val="443D43D5"/>
    <w:rsid w:val="44480F50"/>
    <w:rsid w:val="446E64A7"/>
    <w:rsid w:val="44722916"/>
    <w:rsid w:val="46B035E1"/>
    <w:rsid w:val="46B563A3"/>
    <w:rsid w:val="47C77414"/>
    <w:rsid w:val="47F21F6F"/>
    <w:rsid w:val="484A781B"/>
    <w:rsid w:val="48984CB4"/>
    <w:rsid w:val="48F32EB8"/>
    <w:rsid w:val="490D17EB"/>
    <w:rsid w:val="4933672C"/>
    <w:rsid w:val="493C2353"/>
    <w:rsid w:val="4A151DD0"/>
    <w:rsid w:val="4AAB33D4"/>
    <w:rsid w:val="4AFC38B6"/>
    <w:rsid w:val="4C26761E"/>
    <w:rsid w:val="4C733E33"/>
    <w:rsid w:val="4FCD421C"/>
    <w:rsid w:val="5071170A"/>
    <w:rsid w:val="512E712F"/>
    <w:rsid w:val="521F3A32"/>
    <w:rsid w:val="52690A10"/>
    <w:rsid w:val="5305176C"/>
    <w:rsid w:val="53716985"/>
    <w:rsid w:val="53FD7A41"/>
    <w:rsid w:val="542350AA"/>
    <w:rsid w:val="55155990"/>
    <w:rsid w:val="555059B8"/>
    <w:rsid w:val="55674BAC"/>
    <w:rsid w:val="556A72A4"/>
    <w:rsid w:val="55814E5A"/>
    <w:rsid w:val="57414B9E"/>
    <w:rsid w:val="5780664E"/>
    <w:rsid w:val="580B0E81"/>
    <w:rsid w:val="59923123"/>
    <w:rsid w:val="5B9B57C4"/>
    <w:rsid w:val="5BBF621C"/>
    <w:rsid w:val="5E943C6D"/>
    <w:rsid w:val="5ED941F4"/>
    <w:rsid w:val="5F2A2C52"/>
    <w:rsid w:val="5F694431"/>
    <w:rsid w:val="602A7F83"/>
    <w:rsid w:val="603B2449"/>
    <w:rsid w:val="60E304E5"/>
    <w:rsid w:val="612C1C84"/>
    <w:rsid w:val="6166333D"/>
    <w:rsid w:val="6209645B"/>
    <w:rsid w:val="62482653"/>
    <w:rsid w:val="62AE024D"/>
    <w:rsid w:val="62D54913"/>
    <w:rsid w:val="639D5F0D"/>
    <w:rsid w:val="668D711A"/>
    <w:rsid w:val="67826098"/>
    <w:rsid w:val="688A5E42"/>
    <w:rsid w:val="68FE3DBB"/>
    <w:rsid w:val="69013181"/>
    <w:rsid w:val="6916308B"/>
    <w:rsid w:val="6925445D"/>
    <w:rsid w:val="6B280B34"/>
    <w:rsid w:val="6C7228A9"/>
    <w:rsid w:val="6C9C6D62"/>
    <w:rsid w:val="6DCF1D8C"/>
    <w:rsid w:val="6EA71676"/>
    <w:rsid w:val="704305FD"/>
    <w:rsid w:val="7157125D"/>
    <w:rsid w:val="728D7093"/>
    <w:rsid w:val="734046A0"/>
    <w:rsid w:val="738C10FC"/>
    <w:rsid w:val="756523FB"/>
    <w:rsid w:val="75E207DE"/>
    <w:rsid w:val="78917115"/>
    <w:rsid w:val="78D0720B"/>
    <w:rsid w:val="78D21D5D"/>
    <w:rsid w:val="795D5878"/>
    <w:rsid w:val="79F538D7"/>
    <w:rsid w:val="7A142600"/>
    <w:rsid w:val="7A830152"/>
    <w:rsid w:val="7C0F5CC7"/>
    <w:rsid w:val="7C386C0B"/>
    <w:rsid w:val="7D1E6560"/>
    <w:rsid w:val="7D735CF8"/>
    <w:rsid w:val="7D7D4434"/>
    <w:rsid w:val="7F125E65"/>
    <w:rsid w:val="7FCF0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toc 3"/>
    <w:basedOn w:val="1"/>
    <w:next w:val="1"/>
    <w:unhideWhenUsed/>
    <w:qFormat/>
    <w:uiPriority w:val="39"/>
    <w:pPr>
      <w:widowControl/>
      <w:spacing w:after="100" w:line="276" w:lineRule="auto"/>
      <w:ind w:left="440"/>
      <w:jc w:val="left"/>
    </w:pPr>
    <w:rPr>
      <w:kern w:val="0"/>
      <w:sz w:val="22"/>
      <w:szCs w:val="22"/>
    </w:rPr>
  </w:style>
  <w:style w:type="paragraph" w:styleId="4">
    <w:name w:val="Balloon Text"/>
    <w:basedOn w:val="1"/>
    <w:link w:val="13"/>
    <w:uiPriority w:val="0"/>
    <w:rPr>
      <w:sz w:val="18"/>
      <w:szCs w:val="18"/>
    </w:rPr>
  </w:style>
  <w:style w:type="paragraph" w:styleId="5">
    <w:name w:val="footer"/>
    <w:link w:val="14"/>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6">
    <w:name w:val="header"/>
    <w:link w:val="15"/>
    <w:uiPriority w:val="99"/>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7">
    <w:name w:val="toc 1"/>
    <w:basedOn w:val="1"/>
    <w:next w:val="1"/>
    <w:unhideWhenUsed/>
    <w:qFormat/>
    <w:uiPriority w:val="39"/>
    <w:pPr>
      <w:widowControl/>
      <w:spacing w:after="100" w:line="276" w:lineRule="auto"/>
      <w:jc w:val="left"/>
    </w:pPr>
    <w:rPr>
      <w:kern w:val="0"/>
      <w:sz w:val="22"/>
      <w:szCs w:val="22"/>
    </w:rPr>
  </w:style>
  <w:style w:type="paragraph" w:styleId="8">
    <w:name w:val="toc 2"/>
    <w:basedOn w:val="1"/>
    <w:next w:val="1"/>
    <w:unhideWhenUsed/>
    <w:qFormat/>
    <w:uiPriority w:val="39"/>
    <w:pPr>
      <w:widowControl/>
      <w:spacing w:after="100" w:line="276" w:lineRule="auto"/>
      <w:ind w:left="220"/>
      <w:jc w:val="left"/>
    </w:pPr>
    <w:rPr>
      <w:kern w:val="0"/>
      <w:sz w:val="22"/>
      <w:szCs w:val="22"/>
    </w:rPr>
  </w:style>
  <w:style w:type="character" w:styleId="11">
    <w:name w:val="page number"/>
    <w:uiPriority w:val="0"/>
  </w:style>
  <w:style w:type="character" w:customStyle="1" w:styleId="12">
    <w:name w:val="标题 1 Char"/>
    <w:link w:val="2"/>
    <w:uiPriority w:val="0"/>
    <w:rPr>
      <w:rFonts w:ascii="Calibri" w:hAnsi="Calibri"/>
      <w:b/>
      <w:bCs/>
      <w:kern w:val="44"/>
      <w:sz w:val="44"/>
      <w:szCs w:val="44"/>
    </w:rPr>
  </w:style>
  <w:style w:type="character" w:customStyle="1" w:styleId="13">
    <w:name w:val="批注框文本 Char"/>
    <w:link w:val="4"/>
    <w:uiPriority w:val="0"/>
    <w:rPr>
      <w:rFonts w:ascii="Calibri" w:hAnsi="Calibri"/>
      <w:kern w:val="2"/>
      <w:sz w:val="18"/>
      <w:szCs w:val="18"/>
    </w:rPr>
  </w:style>
  <w:style w:type="character" w:customStyle="1" w:styleId="14">
    <w:name w:val="页脚 Char"/>
    <w:link w:val="5"/>
    <w:uiPriority w:val="99"/>
    <w:rPr>
      <w:kern w:val="2"/>
      <w:sz w:val="18"/>
      <w:szCs w:val="18"/>
      <w:lang w:val="en-US" w:eastAsia="zh-CN" w:bidi="ar-SA"/>
    </w:rPr>
  </w:style>
  <w:style w:type="character" w:customStyle="1" w:styleId="15">
    <w:name w:val="页眉 Char"/>
    <w:link w:val="6"/>
    <w:uiPriority w:val="99"/>
    <w:rPr>
      <w:rFonts w:ascii="Calibri" w:hAnsi="Calibri"/>
      <w:kern w:val="2"/>
      <w:sz w:val="18"/>
      <w:szCs w:val="18"/>
      <w:lang w:val="en-US" w:eastAsia="zh-CN" w:bidi="ar-SA"/>
    </w:rPr>
  </w:style>
  <w:style w:type="paragraph" w:customStyle="1" w:styleId="16">
    <w:name w:val="CM4"/>
    <w:basedOn w:val="17"/>
    <w:next w:val="17"/>
    <w:unhideWhenUsed/>
    <w:uiPriority w:val="99"/>
    <w:pPr>
      <w:spacing w:line="551" w:lineRule="atLeast"/>
    </w:pPr>
  </w:style>
  <w:style w:type="paragraph" w:customStyle="1" w:styleId="17">
    <w:name w:val="Default"/>
    <w:unhideWhenUsed/>
    <w:qFormat/>
    <w:uiPriority w:val="99"/>
    <w:pPr>
      <w:widowControl w:val="0"/>
      <w:autoSpaceDE w:val="0"/>
      <w:autoSpaceDN w:val="0"/>
      <w:adjustRightInd w:val="0"/>
    </w:pPr>
    <w:rPr>
      <w:rFonts w:hint="eastAsia" w:ascii="FZXiaoBiaoSong-B05" w:hAnsi="FZXiaoBiaoSong-B05" w:eastAsia="FZXiaoBiaoSong-B05" w:cs="Times New Roman"/>
      <w:color w:val="000000"/>
      <w:sz w:val="24"/>
      <w:lang w:val="en-US" w:eastAsia="zh-CN" w:bidi="ar-SA"/>
    </w:rPr>
  </w:style>
  <w:style w:type="paragraph" w:customStyle="1" w:styleId="18">
    <w:name w:val="CM6"/>
    <w:basedOn w:val="17"/>
    <w:next w:val="17"/>
    <w:unhideWhenUsed/>
    <w:uiPriority w:val="99"/>
  </w:style>
  <w:style w:type="paragraph" w:customStyle="1" w:styleId="19">
    <w:name w:val="CM12"/>
    <w:basedOn w:val="17"/>
    <w:next w:val="17"/>
    <w:unhideWhenUsed/>
    <w:qFormat/>
    <w:uiPriority w:val="99"/>
  </w:style>
  <w:style w:type="paragraph" w:customStyle="1" w:styleId="20">
    <w:name w:val="CM11"/>
    <w:basedOn w:val="17"/>
    <w:next w:val="17"/>
    <w:unhideWhenUsed/>
    <w:qFormat/>
    <w:uiPriority w:val="99"/>
  </w:style>
  <w:style w:type="paragraph" w:customStyle="1" w:styleId="21">
    <w:name w:val="CM9"/>
    <w:basedOn w:val="17"/>
    <w:next w:val="17"/>
    <w:unhideWhenUsed/>
    <w:qFormat/>
    <w:uiPriority w:val="99"/>
  </w:style>
  <w:style w:type="paragraph" w:customStyle="1" w:styleId="22">
    <w:name w:val="CM5"/>
    <w:basedOn w:val="17"/>
    <w:next w:val="17"/>
    <w:unhideWhenUsed/>
    <w:uiPriority w:val="99"/>
    <w:pPr>
      <w:spacing w:line="551" w:lineRule="atLeast"/>
    </w:pPr>
  </w:style>
  <w:style w:type="paragraph" w:customStyle="1" w:styleId="23">
    <w:name w:val="CM2"/>
    <w:basedOn w:val="17"/>
    <w:next w:val="17"/>
    <w:unhideWhenUsed/>
    <w:qFormat/>
    <w:uiPriority w:val="99"/>
    <w:pPr>
      <w:spacing w:line="600" w:lineRule="atLeast"/>
    </w:pPr>
  </w:style>
  <w:style w:type="paragraph" w:customStyle="1" w:styleId="24">
    <w:name w:val="CM3"/>
    <w:basedOn w:val="17"/>
    <w:next w:val="17"/>
    <w:unhideWhenUsed/>
    <w:qFormat/>
    <w:uiPriority w:val="99"/>
    <w:pPr>
      <w:spacing w:line="600" w:lineRule="atLeast"/>
    </w:pPr>
  </w:style>
  <w:style w:type="paragraph" w:customStyle="1" w:styleId="25">
    <w:name w:val="CM7"/>
    <w:basedOn w:val="17"/>
    <w:next w:val="17"/>
    <w:unhideWhenUsed/>
    <w:qFormat/>
    <w:uiPriority w:val="99"/>
    <w:pPr>
      <w:spacing w:line="600" w:lineRule="atLeast"/>
    </w:pPr>
  </w:style>
  <w:style w:type="paragraph" w:customStyle="1" w:styleId="26">
    <w:name w:val="CM1"/>
    <w:basedOn w:val="17"/>
    <w:next w:val="17"/>
    <w:unhideWhenUsed/>
    <w:uiPriority w:val="99"/>
  </w:style>
  <w:style w:type="paragraph" w:customStyle="1" w:styleId="27">
    <w:name w:val="CM10"/>
    <w:basedOn w:val="17"/>
    <w:next w:val="17"/>
    <w:unhideWhenUsed/>
    <w:uiPriority w:val="99"/>
  </w:style>
  <w:style w:type="paragraph" w:customStyle="1" w:styleId="28">
    <w:name w:val="CM8"/>
    <w:basedOn w:val="17"/>
    <w:next w:val="17"/>
    <w:unhideWhenUsed/>
    <w:qFormat/>
    <w:uiPriority w:val="99"/>
    <w:pPr>
      <w:spacing w:line="600" w:lineRule="atLeast"/>
    </w:pPr>
  </w:style>
  <w:style w:type="paragraph" w:customStyle="1" w:styleId="29">
    <w:name w:val="CM13"/>
    <w:basedOn w:val="17"/>
    <w:next w:val="17"/>
    <w:unhideWhenUsed/>
    <w:qFormat/>
    <w:uiPriority w:val="99"/>
  </w:style>
  <w:style w:type="paragraph" w:styleId="30">
    <w:name w:val="No Spacing"/>
    <w:link w:val="31"/>
    <w:qFormat/>
    <w:uiPriority w:val="1"/>
    <w:rPr>
      <w:rFonts w:ascii="Calibri" w:hAnsi="Calibri" w:eastAsia="宋体" w:cs="Times New Roman"/>
      <w:sz w:val="22"/>
      <w:szCs w:val="22"/>
      <w:lang w:val="en-US" w:eastAsia="zh-CN" w:bidi="ar-SA"/>
    </w:rPr>
  </w:style>
  <w:style w:type="character" w:customStyle="1" w:styleId="31">
    <w:name w:val="无间隔 Char"/>
    <w:link w:val="30"/>
    <w:uiPriority w:val="1"/>
    <w:rPr>
      <w:rFonts w:ascii="Calibri" w:hAnsi="Calibri"/>
      <w:sz w:val="22"/>
      <w:szCs w:val="22"/>
      <w:lang w:val="en-US" w:eastAsia="zh-CN" w:bidi="ar-SA"/>
    </w:rPr>
  </w:style>
  <w:style w:type="paragraph" w:customStyle="1" w:styleId="32">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A74D-293D-4403-B99D-547F55EB984B}">
  <ds:schemaRefs/>
</ds:datastoreItem>
</file>

<file path=docProps/app.xml><?xml version="1.0" encoding="utf-8"?>
<Properties xmlns="http://schemas.openxmlformats.org/officeDocument/2006/extended-properties" xmlns:vt="http://schemas.openxmlformats.org/officeDocument/2006/docPropsVTypes">
  <Template>Normal</Template>
  <Pages>1</Pages>
  <Words>585</Words>
  <Characters>3336</Characters>
  <Lines>27</Lines>
  <Paragraphs>7</Paragraphs>
  <TotalTime>220</TotalTime>
  <ScaleCrop>false</ScaleCrop>
  <LinksUpToDate>false</LinksUpToDate>
  <CharactersWithSpaces>3914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2023-11-14T01:29:00Z</dcterms:created>
  <dc:creator>ASDQWEVC</dc:creator>
  <cp:lastModifiedBy>狄狄</cp:lastModifiedBy>
  <cp:lastPrinted>2023-11-14T05:28:00Z</cp:lastPrinted>
  <dcterms:modified xsi:type="dcterms:W3CDTF">2023-11-15T00:16:57Z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429D9D39D5514AB0BF602F5C8E89087E</vt:lpwstr>
  </property>
</Properties>
</file>